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EB" w:rsidRDefault="00D930EB" w:rsidP="000F6D34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Are You </w:t>
      </w:r>
      <w:r w:rsidRPr="000F6D34">
        <w:rPr>
          <w:rFonts w:ascii="Times New Roman" w:hAnsi="Times New Roman"/>
          <w:b/>
          <w:sz w:val="36"/>
          <w:szCs w:val="36"/>
        </w:rPr>
        <w:t>R</w:t>
      </w:r>
      <w:r>
        <w:rPr>
          <w:rFonts w:ascii="Times New Roman" w:hAnsi="Times New Roman"/>
          <w:b/>
          <w:sz w:val="36"/>
          <w:szCs w:val="36"/>
        </w:rPr>
        <w:t xml:space="preserve">eady for </w:t>
      </w:r>
      <w:r w:rsidRPr="000F6D34">
        <w:rPr>
          <w:rFonts w:ascii="Times New Roman" w:hAnsi="Times New Roman"/>
          <w:b/>
          <w:bCs/>
          <w:sz w:val="36"/>
          <w:szCs w:val="36"/>
        </w:rPr>
        <w:t>Promotion to Ass</w:t>
      </w:r>
      <w:r w:rsidR="00E90AE1">
        <w:rPr>
          <w:rFonts w:ascii="Times New Roman" w:hAnsi="Times New Roman"/>
          <w:b/>
          <w:bCs/>
          <w:sz w:val="36"/>
          <w:szCs w:val="36"/>
        </w:rPr>
        <w:t>istant</w:t>
      </w:r>
      <w:r w:rsidRPr="000F6D34">
        <w:rPr>
          <w:rFonts w:ascii="Times New Roman" w:hAnsi="Times New Roman"/>
          <w:b/>
          <w:bCs/>
          <w:sz w:val="36"/>
          <w:szCs w:val="36"/>
        </w:rPr>
        <w:t xml:space="preserve"> Professor</w:t>
      </w:r>
      <w:r>
        <w:rPr>
          <w:rFonts w:ascii="Times New Roman" w:hAnsi="Times New Roman"/>
          <w:b/>
          <w:bCs/>
          <w:sz w:val="36"/>
          <w:szCs w:val="36"/>
        </w:rPr>
        <w:t>?</w:t>
      </w:r>
    </w:p>
    <w:p w:rsidR="00D930EB" w:rsidRDefault="00D930EB" w:rsidP="00CF1C13">
      <w:pPr>
        <w:rPr>
          <w:rFonts w:ascii="Times New Roman" w:hAnsi="Times New Roman"/>
        </w:rPr>
      </w:pPr>
      <w:r w:rsidRPr="000F6D34">
        <w:rPr>
          <w:rFonts w:ascii="Times New Roman" w:hAnsi="Times New Roman"/>
          <w:b/>
          <w:bCs/>
          <w:sz w:val="36"/>
          <w:szCs w:val="36"/>
        </w:rPr>
        <w:br/>
      </w:r>
      <w:r>
        <w:rPr>
          <w:rFonts w:ascii="Times New Roman" w:hAnsi="Times New Roman"/>
        </w:rPr>
        <w:t>P</w:t>
      </w:r>
      <w:r w:rsidRPr="0098652B">
        <w:rPr>
          <w:rFonts w:ascii="Times New Roman" w:hAnsi="Times New Roman"/>
        </w:rPr>
        <w:t>romotion to Ass</w:t>
      </w:r>
      <w:r w:rsidR="00E90AE1">
        <w:rPr>
          <w:rFonts w:ascii="Times New Roman" w:hAnsi="Times New Roman"/>
        </w:rPr>
        <w:t>istant</w:t>
      </w:r>
      <w:r w:rsidRPr="0098652B">
        <w:rPr>
          <w:rFonts w:ascii="Times New Roman" w:hAnsi="Times New Roman"/>
        </w:rPr>
        <w:t xml:space="preserve"> Professor requires academic </w:t>
      </w:r>
      <w:r>
        <w:rPr>
          <w:rFonts w:ascii="Times New Roman" w:hAnsi="Times New Roman"/>
        </w:rPr>
        <w:t>and/</w:t>
      </w:r>
      <w:r w:rsidRPr="0098652B">
        <w:rPr>
          <w:rFonts w:ascii="Times New Roman" w:hAnsi="Times New Roman"/>
        </w:rPr>
        <w:t xml:space="preserve">or professional experience beyond the level of </w:t>
      </w:r>
      <w:r w:rsidR="00E90AE1">
        <w:rPr>
          <w:rFonts w:ascii="Times New Roman" w:hAnsi="Times New Roman"/>
        </w:rPr>
        <w:t>Instructo</w:t>
      </w:r>
      <w:r w:rsidRPr="0098652B">
        <w:rPr>
          <w:rFonts w:ascii="Times New Roman" w:hAnsi="Times New Roman"/>
        </w:rPr>
        <w:t>r</w:t>
      </w:r>
      <w:r>
        <w:rPr>
          <w:rFonts w:ascii="Times New Roman" w:hAnsi="Times New Roman"/>
        </w:rPr>
        <w:t>.  C</w:t>
      </w:r>
      <w:r w:rsidRPr="0098652B">
        <w:rPr>
          <w:rFonts w:ascii="Times New Roman" w:hAnsi="Times New Roman"/>
        </w:rPr>
        <w:t xml:space="preserve">andidates for promotion to </w:t>
      </w:r>
      <w:r w:rsidR="00E90AE1">
        <w:rPr>
          <w:rFonts w:ascii="Times New Roman" w:hAnsi="Times New Roman"/>
        </w:rPr>
        <w:t xml:space="preserve">Assistant Professor </w:t>
      </w:r>
      <w:r w:rsidRPr="0098652B">
        <w:rPr>
          <w:rFonts w:ascii="Times New Roman" w:hAnsi="Times New Roman"/>
        </w:rPr>
        <w:t xml:space="preserve">have </w:t>
      </w:r>
      <w:r>
        <w:rPr>
          <w:rFonts w:ascii="Times New Roman" w:hAnsi="Times New Roman"/>
        </w:rPr>
        <w:t>achieved an</w:t>
      </w:r>
      <w:r w:rsidRPr="0098652B">
        <w:rPr>
          <w:rFonts w:ascii="Times New Roman" w:hAnsi="Times New Roman"/>
        </w:rPr>
        <w:t xml:space="preserve"> </w:t>
      </w:r>
      <w:r w:rsidR="005B5CC6">
        <w:rPr>
          <w:rFonts w:ascii="Times New Roman" w:hAnsi="Times New Roman"/>
          <w:b/>
          <w:bCs/>
          <w:color w:val="A32638"/>
        </w:rPr>
        <w:t>Entry</w:t>
      </w:r>
      <w:r w:rsidRPr="0098652B">
        <w:rPr>
          <w:rFonts w:ascii="Times New Roman" w:hAnsi="Times New Roman"/>
          <w:b/>
          <w:bCs/>
        </w:rPr>
        <w:t xml:space="preserve"> </w:t>
      </w:r>
      <w:r w:rsidRPr="0098652B">
        <w:rPr>
          <w:rFonts w:ascii="Times New Roman" w:hAnsi="Times New Roman"/>
        </w:rPr>
        <w:t xml:space="preserve">level </w:t>
      </w:r>
      <w:r>
        <w:rPr>
          <w:rFonts w:ascii="Times New Roman" w:hAnsi="Times New Roman"/>
        </w:rPr>
        <w:t xml:space="preserve">of accomplishment </w:t>
      </w:r>
      <w:r w:rsidR="005B5CC6">
        <w:rPr>
          <w:rFonts w:ascii="Times New Roman" w:hAnsi="Times New Roman"/>
        </w:rPr>
        <w:t xml:space="preserve">in at all </w:t>
      </w:r>
      <w:r>
        <w:rPr>
          <w:rFonts w:ascii="Times New Roman" w:hAnsi="Times New Roman"/>
        </w:rPr>
        <w:t xml:space="preserve">3 </w:t>
      </w:r>
      <w:r w:rsidRPr="0098652B">
        <w:rPr>
          <w:rFonts w:ascii="Times New Roman" w:hAnsi="Times New Roman"/>
        </w:rPr>
        <w:t>mission area</w:t>
      </w:r>
      <w:r>
        <w:rPr>
          <w:rFonts w:ascii="Times New Roman" w:hAnsi="Times New Roman"/>
        </w:rPr>
        <w:t>s</w:t>
      </w:r>
      <w:r w:rsidRPr="0098652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These areas are:  Professional/Academic Servic</w:t>
      </w:r>
      <w:r w:rsidR="008348AD">
        <w:rPr>
          <w:rFonts w:ascii="Times New Roman" w:hAnsi="Times New Roman"/>
        </w:rPr>
        <w:t xml:space="preserve">e, Research/Scholarly Activity and </w:t>
      </w:r>
      <w:r>
        <w:rPr>
          <w:rFonts w:ascii="Times New Roman" w:hAnsi="Times New Roman"/>
        </w:rPr>
        <w:t>Education</w:t>
      </w:r>
      <w:r w:rsidR="008348AD">
        <w:rPr>
          <w:rFonts w:ascii="Times New Roman" w:hAnsi="Times New Roman"/>
        </w:rPr>
        <w:t>.</w:t>
      </w:r>
    </w:p>
    <w:p w:rsidR="00D930EB" w:rsidRPr="000F6D34" w:rsidRDefault="00D930EB">
      <w:pPr>
        <w:rPr>
          <w:rFonts w:ascii="Times New Roman" w:hAnsi="Times New Roman"/>
        </w:rPr>
      </w:pPr>
    </w:p>
    <w:p w:rsidR="00D930EB" w:rsidRDefault="00D930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3 (below) gives examples of </w:t>
      </w:r>
      <w:r w:rsidRPr="00753E35">
        <w:rPr>
          <w:rFonts w:ascii="Times New Roman" w:hAnsi="Times New Roman"/>
          <w:color w:val="C00000"/>
        </w:rPr>
        <w:t>“Entry”</w:t>
      </w:r>
      <w:r>
        <w:rPr>
          <w:rFonts w:ascii="Times New Roman" w:hAnsi="Times New Roman"/>
        </w:rPr>
        <w:t xml:space="preserve"> levels of achievement</w:t>
      </w:r>
      <w:r w:rsidR="005B5CC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="00753E35">
        <w:rPr>
          <w:rFonts w:ascii="Times New Roman" w:hAnsi="Times New Roman"/>
        </w:rPr>
        <w:t>Candidates for Assistant Professor agree to make at least a 10% commitment to the work of the Medical School and the Department</w:t>
      </w:r>
      <w:r>
        <w:rPr>
          <w:rFonts w:ascii="Times New Roman" w:hAnsi="Times New Roman"/>
        </w:rPr>
        <w:t>.   It will also be important to gather your formal teaching evaluations to document your teaching effort.</w:t>
      </w:r>
      <w:r>
        <w:rPr>
          <w:rFonts w:ascii="Times New Roman" w:hAnsi="Times New Roman"/>
        </w:rPr>
        <w:br/>
      </w:r>
    </w:p>
    <w:p w:rsidR="00D930EB" w:rsidRDefault="00D930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Once you have reviewed the criteria, draft a list of what you have accomplished in each of these three areas, and at what level (Entry, Established) you believe you qualify.  Next, you will need to identify three </w:t>
      </w:r>
      <w:r w:rsidR="005B5CC6">
        <w:rPr>
          <w:rFonts w:ascii="Times New Roman" w:hAnsi="Times New Roman"/>
        </w:rPr>
        <w:t>colleagues from</w:t>
      </w:r>
      <w:r>
        <w:rPr>
          <w:rFonts w:ascii="Times New Roman" w:hAnsi="Times New Roman"/>
        </w:rPr>
        <w:t xml:space="preserve"> whom the department will request letters of support for your application.</w:t>
      </w:r>
    </w:p>
    <w:p w:rsidR="00D930EB" w:rsidRDefault="00D930EB">
      <w:pPr>
        <w:rPr>
          <w:rFonts w:ascii="Times New Roman" w:hAnsi="Times New Roman"/>
        </w:rPr>
      </w:pPr>
    </w:p>
    <w:p w:rsidR="00D930EB" w:rsidRDefault="00D930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Meet with your supervisor to review your matching of accomplishments against the criteria.  It may also be helpful to meet informally with a member of the DPAC to review your list against the criteria, to ensure that you are on the right track. </w:t>
      </w:r>
    </w:p>
    <w:p w:rsidR="00D930EB" w:rsidRDefault="00D930EB">
      <w:pPr>
        <w:rPr>
          <w:rFonts w:ascii="Times New Roman" w:hAnsi="Times New Roman"/>
        </w:rPr>
      </w:pPr>
    </w:p>
    <w:p w:rsidR="00D930EB" w:rsidRPr="000F6D34" w:rsidRDefault="00D930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last step is to prepare a letter to the chair requesting promotion.  In your letter you must request the promotion, provide a brief description of your work in the department, and address how you meet the </w:t>
      </w:r>
      <w:r w:rsidR="005B5CC6" w:rsidRPr="00753E35">
        <w:rPr>
          <w:rFonts w:ascii="Times New Roman" w:hAnsi="Times New Roman"/>
          <w:b/>
          <w:color w:val="C00000"/>
        </w:rPr>
        <w:t>E</w:t>
      </w:r>
      <w:r w:rsidR="00753E35">
        <w:rPr>
          <w:rFonts w:ascii="Times New Roman" w:hAnsi="Times New Roman"/>
          <w:b/>
          <w:color w:val="C00000"/>
        </w:rPr>
        <w:t>ntry</w:t>
      </w:r>
      <w:r w:rsidR="005B5CC6">
        <w:rPr>
          <w:rFonts w:ascii="Times New Roman" w:hAnsi="Times New Roman"/>
        </w:rPr>
        <w:t xml:space="preserve"> level </w:t>
      </w:r>
      <w:r>
        <w:rPr>
          <w:rFonts w:ascii="Times New Roman" w:hAnsi="Times New Roman"/>
        </w:rPr>
        <w:t xml:space="preserve">criteria for promotion in each of the mission areas.  Include in this letter a summary </w:t>
      </w:r>
      <w:r w:rsidR="00753E35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 xml:space="preserve">your evaluation data. </w:t>
      </w:r>
    </w:p>
    <w:p w:rsidR="00D930EB" w:rsidRDefault="00D930EB"/>
    <w:p w:rsidR="00D930EB" w:rsidRDefault="00D930EB"/>
    <w:tbl>
      <w:tblPr>
        <w:tblW w:w="10384" w:type="dxa"/>
        <w:tblInd w:w="-432" w:type="dxa"/>
        <w:tblLook w:val="00A0"/>
      </w:tblPr>
      <w:tblGrid>
        <w:gridCol w:w="3634"/>
        <w:gridCol w:w="3684"/>
        <w:gridCol w:w="3066"/>
      </w:tblGrid>
      <w:tr w:rsidR="00D930EB" w:rsidRPr="004B6F62" w:rsidTr="00692997">
        <w:trPr>
          <w:trHeight w:val="370"/>
        </w:trPr>
        <w:tc>
          <w:tcPr>
            <w:tcW w:w="10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2A6DC7">
            <w:pPr>
              <w:spacing w:line="293" w:lineRule="atLeast"/>
              <w:jc w:val="center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inherit" w:hAnsi="inherit"/>
                <w:b/>
                <w:bCs/>
                <w:color w:val="000000"/>
                <w:sz w:val="16"/>
                <w:szCs w:val="22"/>
                <w:lang w:eastAsia="en-US"/>
              </w:rPr>
              <w:t>Table 3: Examples of Activities that provide evidence of an "Entry" Level of Achievement</w:t>
            </w:r>
          </w:p>
        </w:tc>
      </w:tr>
      <w:tr w:rsidR="00D930EB" w:rsidRPr="004B6F62" w:rsidTr="00692997">
        <w:trPr>
          <w:trHeight w:val="37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2A6DC7">
            <w:pPr>
              <w:spacing w:line="293" w:lineRule="atLeast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inherit" w:hAnsi="inherit"/>
                <w:b/>
                <w:bCs/>
                <w:color w:val="000000"/>
                <w:sz w:val="16"/>
                <w:szCs w:val="22"/>
                <w:lang w:eastAsia="en-US"/>
              </w:rPr>
              <w:t>Professional/Academic Service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2A6DC7">
            <w:pPr>
              <w:spacing w:line="293" w:lineRule="atLeast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inherit" w:hAnsi="inherit"/>
                <w:b/>
                <w:bCs/>
                <w:color w:val="000000"/>
                <w:sz w:val="16"/>
                <w:szCs w:val="22"/>
                <w:lang w:eastAsia="en-US"/>
              </w:rPr>
              <w:t>Research/Scholarly Activity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2A6DC7">
            <w:pPr>
              <w:spacing w:line="293" w:lineRule="atLeast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inherit" w:hAnsi="inherit"/>
                <w:b/>
                <w:bCs/>
                <w:color w:val="000000"/>
                <w:sz w:val="16"/>
                <w:szCs w:val="22"/>
                <w:lang w:eastAsia="en-US"/>
              </w:rPr>
              <w:t>Education</w:t>
            </w:r>
          </w:p>
        </w:tc>
      </w:tr>
      <w:tr w:rsidR="00D930EB" w:rsidRPr="004B6F62" w:rsidTr="00692997">
        <w:trPr>
          <w:trHeight w:val="37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D871EE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for clinical faculty members, demonstrated competence in area of clinical expertise</w:t>
            </w:r>
          </w:p>
          <w:p w:rsidR="00D930EB" w:rsidRPr="004B6F62" w:rsidRDefault="00D930EB" w:rsidP="00D871EE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contributions to ongoing programs/teams involved in clinical, public health or research activities</w:t>
            </w:r>
          </w:p>
          <w:p w:rsidR="00D930EB" w:rsidRPr="004B6F62" w:rsidRDefault="00D930EB" w:rsidP="00D871EE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local/regional consulting (including consultations with State agencies) in area of expertise</w:t>
            </w:r>
          </w:p>
          <w:p w:rsidR="00D930EB" w:rsidRPr="004B6F62" w:rsidRDefault="00D930EB" w:rsidP="00D871EE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active participation in professional organizations</w:t>
            </w:r>
          </w:p>
          <w:p w:rsidR="00D930EB" w:rsidRPr="004B6F62" w:rsidRDefault="00D930EB" w:rsidP="00D871EE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peer reviews for scientific journals or for granting agencies</w:t>
            </w:r>
          </w:p>
          <w:p w:rsidR="00D930EB" w:rsidRPr="004B6F62" w:rsidRDefault="00D930EB" w:rsidP="00D871EE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activities related to faculty or student governance</w:t>
            </w:r>
          </w:p>
          <w:p w:rsidR="00D930EB" w:rsidRPr="004B6F62" w:rsidRDefault="00D930EB" w:rsidP="00D871EE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 xml:space="preserve">service on task forces, committees and </w:t>
            </w: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lastRenderedPageBreak/>
              <w:t>other groups of the school or university</w:t>
            </w:r>
          </w:p>
          <w:p w:rsidR="00D930EB" w:rsidRPr="004B6F62" w:rsidRDefault="00D930EB" w:rsidP="00D871EE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advising/sponsoring of student or resident organization</w:t>
            </w:r>
          </w:p>
          <w:p w:rsidR="00D930EB" w:rsidRPr="004B6F62" w:rsidRDefault="00D930EB" w:rsidP="002A6DC7">
            <w:pPr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D871EE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lastRenderedPageBreak/>
              <w:t>publication of clinical, basic science, or educational research (or evidence of significant contribution to publications)</w:t>
            </w:r>
          </w:p>
          <w:p w:rsidR="00D930EB" w:rsidRPr="004B6F62" w:rsidRDefault="00D930EB" w:rsidP="00D871EE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presentation (verbal or poster) of study results to local audiences</w:t>
            </w:r>
          </w:p>
          <w:p w:rsidR="00D930EB" w:rsidRPr="004B6F62" w:rsidRDefault="00D930EB" w:rsidP="00D871EE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application as principal investigator for locally or regionally-funded grants or contracts</w:t>
            </w:r>
          </w:p>
          <w:p w:rsidR="00D930EB" w:rsidRPr="004B6F62" w:rsidRDefault="00D930EB" w:rsidP="00D871EE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case reports or review articles that integrate and expand existing knowledge or that provide an extensive literature review*</w:t>
            </w:r>
          </w:p>
          <w:p w:rsidR="00D930EB" w:rsidRPr="004B6F62" w:rsidRDefault="00D930EB" w:rsidP="00D871EE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significant involvement at a local level in the developing, implementing and evaluating clinical guidelines *</w:t>
            </w:r>
          </w:p>
          <w:p w:rsidR="00D930EB" w:rsidRPr="004B6F62" w:rsidRDefault="00D930EB" w:rsidP="00D871EE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 xml:space="preserve">significant contribution to policy </w:t>
            </w: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lastRenderedPageBreak/>
              <w:t>development at a local level*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D871EE">
            <w:pPr>
              <w:numPr>
                <w:ilvl w:val="0"/>
                <w:numId w:val="3"/>
              </w:numPr>
              <w:tabs>
                <w:tab w:val="clear" w:pos="720"/>
                <w:tab w:val="num" w:pos="219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lastRenderedPageBreak/>
              <w:t xml:space="preserve">formal lectures to medical </w:t>
            </w:r>
            <w:r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and/or graduate students, residents, fellows, and peers</w:t>
            </w:r>
          </w:p>
          <w:p w:rsidR="00D930EB" w:rsidRPr="004B6F62" w:rsidRDefault="00D930EB" w:rsidP="00D871EE">
            <w:pPr>
              <w:numPr>
                <w:ilvl w:val="0"/>
                <w:numId w:val="3"/>
              </w:numPr>
              <w:tabs>
                <w:tab w:val="clear" w:pos="720"/>
                <w:tab w:val="num" w:pos="219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instruction in laboratory settings or in similar experiential learning activities</w:t>
            </w:r>
          </w:p>
          <w:p w:rsidR="00D930EB" w:rsidRPr="004B6F62" w:rsidRDefault="00D930EB" w:rsidP="00D871EE">
            <w:pPr>
              <w:numPr>
                <w:ilvl w:val="0"/>
                <w:numId w:val="3"/>
              </w:numPr>
              <w:tabs>
                <w:tab w:val="clear" w:pos="720"/>
                <w:tab w:val="num" w:pos="219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teaching in patient care environments</w:t>
            </w:r>
          </w:p>
          <w:p w:rsidR="00D930EB" w:rsidRPr="004B6F62" w:rsidRDefault="00D930EB" w:rsidP="00D871EE">
            <w:pPr>
              <w:numPr>
                <w:ilvl w:val="0"/>
                <w:numId w:val="3"/>
              </w:numPr>
              <w:tabs>
                <w:tab w:val="clear" w:pos="720"/>
                <w:tab w:val="num" w:pos="219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serving as a facilitator in small group formats</w:t>
            </w:r>
          </w:p>
          <w:p w:rsidR="00D930EB" w:rsidRPr="004B6F62" w:rsidRDefault="00D930EB" w:rsidP="00D871EE">
            <w:pPr>
              <w:numPr>
                <w:ilvl w:val="0"/>
                <w:numId w:val="3"/>
              </w:numPr>
              <w:tabs>
                <w:tab w:val="clear" w:pos="720"/>
                <w:tab w:val="num" w:pos="219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supervision and individualized instruction of graduate students or residents</w:t>
            </w:r>
          </w:p>
          <w:p w:rsidR="00D930EB" w:rsidRPr="004B6F62" w:rsidRDefault="00D930EB" w:rsidP="00D871EE">
            <w:pPr>
              <w:numPr>
                <w:ilvl w:val="0"/>
                <w:numId w:val="3"/>
              </w:numPr>
              <w:tabs>
                <w:tab w:val="clear" w:pos="720"/>
                <w:tab w:val="num" w:pos="219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presentations for grand rounds, teaching rounds or journal clubs</w:t>
            </w:r>
          </w:p>
          <w:p w:rsidR="00D930EB" w:rsidRPr="004B6F62" w:rsidRDefault="00D930EB" w:rsidP="00D871EE">
            <w:pPr>
              <w:numPr>
                <w:ilvl w:val="0"/>
                <w:numId w:val="3"/>
              </w:numPr>
              <w:tabs>
                <w:tab w:val="clear" w:pos="720"/>
                <w:tab w:val="num" w:pos="219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lastRenderedPageBreak/>
              <w:t>mentoring learners or colleagues</w:t>
            </w:r>
          </w:p>
        </w:tc>
      </w:tr>
    </w:tbl>
    <w:p w:rsidR="00D930EB" w:rsidRDefault="00D930EB"/>
    <w:p w:rsidR="00D930EB" w:rsidRDefault="00D930EB">
      <w:r>
        <w:t>Based on your CV, please describe your “Entry” level achievements (in Professional Academic Service OR Education OR Research) in referencing the examples provided above.</w:t>
      </w:r>
    </w:p>
    <w:p w:rsidR="00D930EB" w:rsidRDefault="00D930EB">
      <w:r>
        <w:br/>
      </w:r>
    </w:p>
    <w:p w:rsidR="00D930EB" w:rsidRDefault="00D930EB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/>
    <w:p w:rsidR="00D930EB" w:rsidRDefault="00D930EB"/>
    <w:tbl>
      <w:tblPr>
        <w:tblW w:w="10350" w:type="dxa"/>
        <w:tblInd w:w="-432" w:type="dxa"/>
        <w:tblLook w:val="00A0"/>
      </w:tblPr>
      <w:tblGrid>
        <w:gridCol w:w="3600"/>
        <w:gridCol w:w="3690"/>
        <w:gridCol w:w="3060"/>
      </w:tblGrid>
      <w:tr w:rsidR="00D930EB" w:rsidRPr="004B6F62" w:rsidTr="00692997">
        <w:trPr>
          <w:trHeight w:val="366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2A6DC7">
            <w:pPr>
              <w:spacing w:line="293" w:lineRule="atLeast"/>
              <w:jc w:val="center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inherit" w:hAnsi="inherit"/>
                <w:b/>
                <w:bCs/>
                <w:color w:val="000000"/>
                <w:sz w:val="16"/>
                <w:szCs w:val="22"/>
                <w:lang w:eastAsia="en-US"/>
              </w:rPr>
              <w:t>Table 5. Examples of Activities that provide evidence of an ‘Established’ level of achievement</w:t>
            </w:r>
          </w:p>
        </w:tc>
      </w:tr>
      <w:tr w:rsidR="00D930EB" w:rsidRPr="004B6F62" w:rsidTr="00692997">
        <w:trPr>
          <w:trHeight w:val="36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2A6DC7">
            <w:pPr>
              <w:spacing w:line="293" w:lineRule="atLeast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inherit" w:hAnsi="inherit"/>
                <w:b/>
                <w:bCs/>
                <w:color w:val="000000"/>
                <w:sz w:val="16"/>
                <w:szCs w:val="22"/>
                <w:lang w:eastAsia="en-US"/>
              </w:rPr>
              <w:t>Professional/Academic Service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2A6DC7">
            <w:pPr>
              <w:spacing w:line="293" w:lineRule="atLeast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inherit" w:hAnsi="inherit"/>
                <w:b/>
                <w:bCs/>
                <w:color w:val="000000"/>
                <w:sz w:val="16"/>
                <w:szCs w:val="22"/>
                <w:lang w:eastAsia="en-US"/>
              </w:rPr>
              <w:t>Research/Scholarly Activity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2A6DC7">
            <w:pPr>
              <w:spacing w:line="293" w:lineRule="atLeast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inherit" w:hAnsi="inherit"/>
                <w:b/>
                <w:bCs/>
                <w:color w:val="000000"/>
                <w:sz w:val="16"/>
                <w:szCs w:val="22"/>
                <w:lang w:eastAsia="en-US"/>
              </w:rPr>
              <w:t>Education</w:t>
            </w:r>
          </w:p>
        </w:tc>
      </w:tr>
      <w:tr w:rsidR="00D930EB" w:rsidRPr="004B6F62" w:rsidTr="00692997">
        <w:trPr>
          <w:trHeight w:val="36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consulting on a regional basis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responsibility for a clinical or scientific program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leadership role in appropriate committees or groups related to clinical services or research such as IRB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leadership role/chair of major committees on a regional basis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spokesperson for the School or University on areas of expertise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awards and other recognition as an outstanding regional clinician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substantial contributions to activities related to faculty governance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 xml:space="preserve">substantial contributions to task forces, </w:t>
            </w: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lastRenderedPageBreak/>
              <w:t>committees and other groups of the School and University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substantial administrative responsibilities for departments, units or the School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substantial mentoring of learners or colleagues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adhoc</w:t>
            </w:r>
            <w:proofErr w:type="spellEnd"/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 xml:space="preserve"> reviewer for a scientific review board</w:t>
            </w:r>
          </w:p>
          <w:p w:rsidR="00D930EB" w:rsidRPr="004B6F62" w:rsidRDefault="00D930EB" w:rsidP="00A1085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bCs/>
                <w:color w:val="000000"/>
                <w:sz w:val="16"/>
                <w:szCs w:val="16"/>
                <w:lang w:eastAsia="en-US"/>
              </w:rPr>
              <w:t>substantial contribution to academic/professional organization such as chair of major committee or responsibility for scientific meeting</w:t>
            </w:r>
          </w:p>
          <w:p w:rsidR="00D930EB" w:rsidRPr="004B6F62" w:rsidRDefault="00D930EB" w:rsidP="002A6DC7">
            <w:pPr>
              <w:tabs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A10852">
            <w:pPr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lastRenderedPageBreak/>
              <w:t>scientific publications in peer-reviewed journals and equivalent formats (emphasis on first and/or senior authorship)</w:t>
            </w:r>
          </w:p>
          <w:p w:rsidR="00D930EB" w:rsidRPr="004B6F62" w:rsidRDefault="00D930EB" w:rsidP="00A10852">
            <w:pPr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regional/national recognition in his/her academic field</w:t>
            </w:r>
          </w:p>
          <w:p w:rsidR="00D930EB" w:rsidRPr="004B6F62" w:rsidRDefault="00D930EB" w:rsidP="00A10852">
            <w:pPr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extramural grants or contracts (emphasis on principal investigator)</w:t>
            </w:r>
          </w:p>
          <w:p w:rsidR="00D930EB" w:rsidRPr="004B6F62" w:rsidRDefault="00D930EB" w:rsidP="00A10852">
            <w:pPr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patents or other evidence of acceptance of devices or procedures</w:t>
            </w:r>
          </w:p>
          <w:p w:rsidR="00D930EB" w:rsidRPr="004B6F62" w:rsidRDefault="00D930EB" w:rsidP="00A10852">
            <w:pPr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significant involvement at a regional or national level in the developing, implementing and evaluating clinical guidelines *</w:t>
            </w:r>
          </w:p>
          <w:p w:rsidR="00D930EB" w:rsidRPr="004B6F62" w:rsidRDefault="00D930EB" w:rsidP="00A10852">
            <w:pPr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significant contribution to policy development at a regional or national level 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B" w:rsidRPr="004B6F62" w:rsidRDefault="00D930EB" w:rsidP="00A10852">
            <w:pPr>
              <w:numPr>
                <w:ilvl w:val="0"/>
                <w:numId w:val="6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supervising or coordinating teaching by others (e.g. course director, residency program director)</w:t>
            </w:r>
          </w:p>
          <w:p w:rsidR="00D930EB" w:rsidRPr="004B6F62" w:rsidRDefault="00D930EB" w:rsidP="00A10852">
            <w:pPr>
              <w:numPr>
                <w:ilvl w:val="0"/>
                <w:numId w:val="6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developing and participating in teaching of major components of courses (medical student, graduate student, resident, fellow, or CME courses)</w:t>
            </w:r>
          </w:p>
          <w:p w:rsidR="00D930EB" w:rsidRPr="004B6F62" w:rsidRDefault="00D930EB" w:rsidP="00A10852">
            <w:pPr>
              <w:numPr>
                <w:ilvl w:val="0"/>
                <w:numId w:val="6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developing significant educational and curricular materials (e.g. syllabi, curricular objectives, teaching cases, software)</w:t>
            </w:r>
          </w:p>
          <w:p w:rsidR="00D930EB" w:rsidRPr="004B6F62" w:rsidRDefault="00D930EB" w:rsidP="00A10852">
            <w:pPr>
              <w:numPr>
                <w:ilvl w:val="0"/>
                <w:numId w:val="6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 xml:space="preserve">developing significant evaluation techniques (e.g. examinations, </w:t>
            </w: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lastRenderedPageBreak/>
              <w:t>surveys, software, standardized patients)</w:t>
            </w:r>
          </w:p>
          <w:p w:rsidR="00D930EB" w:rsidRPr="004B6F62" w:rsidRDefault="00D930EB" w:rsidP="00A10852">
            <w:pPr>
              <w:numPr>
                <w:ilvl w:val="0"/>
                <w:numId w:val="6"/>
              </w:numPr>
              <w:tabs>
                <w:tab w:val="clear" w:pos="720"/>
                <w:tab w:val="num" w:pos="270"/>
              </w:tabs>
              <w:spacing w:line="293" w:lineRule="atLeast"/>
              <w:ind w:left="250"/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</w:pPr>
            <w:r w:rsidRPr="004B6F62">
              <w:rPr>
                <w:rFonts w:ascii="Trebuchet MS" w:hAnsi="Trebuchet MS"/>
                <w:color w:val="000000"/>
                <w:sz w:val="16"/>
                <w:szCs w:val="16"/>
                <w:lang w:eastAsia="en-US"/>
              </w:rPr>
              <w:t>supervising graduate students and participating in dissertation committees</w:t>
            </w:r>
          </w:p>
        </w:tc>
      </w:tr>
    </w:tbl>
    <w:p w:rsidR="00D930EB" w:rsidRDefault="00D930EB"/>
    <w:p w:rsidR="00D930EB" w:rsidRDefault="00D930EB" w:rsidP="00A10852">
      <w:r>
        <w:t xml:space="preserve">Based on your CV, please describe </w:t>
      </w:r>
      <w:proofErr w:type="gramStart"/>
      <w:r>
        <w:t>your</w:t>
      </w:r>
      <w:proofErr w:type="gramEnd"/>
      <w:r>
        <w:t xml:space="preserve"> “Established” level achievements (in Professional/ Academic Service OR Education OR Research) referencing the examples provided above.</w:t>
      </w:r>
    </w:p>
    <w:p w:rsidR="00D930EB" w:rsidRDefault="00D930EB" w:rsidP="00A10852"/>
    <w:p w:rsidR="00D930EB" w:rsidRDefault="00D930EB" w:rsidP="004759CB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:rsidR="00D930EB" w:rsidRDefault="00D930EB" w:rsidP="003969C5">
      <w:pPr>
        <w:pBdr>
          <w:bottom w:val="single" w:sz="12" w:space="1" w:color="auto"/>
          <w:between w:val="single" w:sz="12" w:space="1" w:color="auto"/>
        </w:pBdr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D930EB" w:rsidRDefault="00D930EB" w:rsidP="003969C5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 w:rsidP="003969C5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 w:rsidP="003969C5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 w:rsidP="003969C5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 w:rsidP="003969C5">
      <w:pPr>
        <w:pBdr>
          <w:bottom w:val="single" w:sz="12" w:space="1" w:color="auto"/>
          <w:between w:val="single" w:sz="12" w:space="1" w:color="auto"/>
        </w:pBdr>
      </w:pPr>
    </w:p>
    <w:p w:rsidR="00D930EB" w:rsidRDefault="00D930EB" w:rsidP="003969C5">
      <w:pPr>
        <w:pBdr>
          <w:bottom w:val="single" w:sz="12" w:space="1" w:color="auto"/>
          <w:between w:val="single" w:sz="12" w:space="1" w:color="auto"/>
        </w:pBdr>
      </w:pPr>
    </w:p>
    <w:sectPr w:rsidR="00D930EB" w:rsidSect="00FC7658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A3A"/>
    <w:multiLevelType w:val="multilevel"/>
    <w:tmpl w:val="A8E6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011EF"/>
    <w:multiLevelType w:val="multilevel"/>
    <w:tmpl w:val="43E2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3662A"/>
    <w:multiLevelType w:val="multilevel"/>
    <w:tmpl w:val="38EE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B42F8"/>
    <w:multiLevelType w:val="hybridMultilevel"/>
    <w:tmpl w:val="CF40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1374E"/>
    <w:multiLevelType w:val="multilevel"/>
    <w:tmpl w:val="EE6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416B6"/>
    <w:multiLevelType w:val="multilevel"/>
    <w:tmpl w:val="175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B262F"/>
    <w:multiLevelType w:val="multilevel"/>
    <w:tmpl w:val="304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77551"/>
    <w:multiLevelType w:val="multilevel"/>
    <w:tmpl w:val="F1BE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D7E20"/>
    <w:multiLevelType w:val="hybridMultilevel"/>
    <w:tmpl w:val="C3D2FD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78684A"/>
    <w:multiLevelType w:val="multilevel"/>
    <w:tmpl w:val="6508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205C23"/>
    <w:multiLevelType w:val="multilevel"/>
    <w:tmpl w:val="FCF0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1EE"/>
    <w:rsid w:val="00086949"/>
    <w:rsid w:val="000E71BC"/>
    <w:rsid w:val="000F6D34"/>
    <w:rsid w:val="001A7942"/>
    <w:rsid w:val="002276DA"/>
    <w:rsid w:val="002A3BCF"/>
    <w:rsid w:val="002A6DC7"/>
    <w:rsid w:val="002E6BCF"/>
    <w:rsid w:val="002E720E"/>
    <w:rsid w:val="00382D11"/>
    <w:rsid w:val="003969C5"/>
    <w:rsid w:val="00433A9B"/>
    <w:rsid w:val="004759CB"/>
    <w:rsid w:val="004B6F62"/>
    <w:rsid w:val="00544530"/>
    <w:rsid w:val="005B5CC6"/>
    <w:rsid w:val="0060047A"/>
    <w:rsid w:val="00692997"/>
    <w:rsid w:val="00696F09"/>
    <w:rsid w:val="006D6B5D"/>
    <w:rsid w:val="00710663"/>
    <w:rsid w:val="00753E35"/>
    <w:rsid w:val="008348AD"/>
    <w:rsid w:val="008F7284"/>
    <w:rsid w:val="0098652B"/>
    <w:rsid w:val="00A10852"/>
    <w:rsid w:val="00AD1E25"/>
    <w:rsid w:val="00B45526"/>
    <w:rsid w:val="00B84AA1"/>
    <w:rsid w:val="00B92924"/>
    <w:rsid w:val="00BB2A8E"/>
    <w:rsid w:val="00CF1C13"/>
    <w:rsid w:val="00D16FB4"/>
    <w:rsid w:val="00D270FC"/>
    <w:rsid w:val="00D871EE"/>
    <w:rsid w:val="00D930EB"/>
    <w:rsid w:val="00DA5B82"/>
    <w:rsid w:val="00E90AE1"/>
    <w:rsid w:val="00EF40E8"/>
    <w:rsid w:val="00F14FD2"/>
    <w:rsid w:val="00FC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52"/>
    <w:rPr>
      <w:rFonts w:ascii="Cambria" w:eastAsia="Times New Roman" w:hAnsi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7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71EE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to Determine Readiness for Promotion to Associate Professor</vt:lpstr>
    </vt:vector>
  </TitlesOfParts>
  <Company>UMASS Medical School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to Determine Readiness for Promotion to Associate Professor</dc:title>
  <dc:creator>mclaughm</dc:creator>
  <cp:lastModifiedBy>mclaughm</cp:lastModifiedBy>
  <cp:revision>2</cp:revision>
  <cp:lastPrinted>2013-09-16T14:03:00Z</cp:lastPrinted>
  <dcterms:created xsi:type="dcterms:W3CDTF">2013-10-29T19:40:00Z</dcterms:created>
  <dcterms:modified xsi:type="dcterms:W3CDTF">2013-10-29T19:40:00Z</dcterms:modified>
</cp:coreProperties>
</file>